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531F00" w:rsidRDefault="00531F00" w:rsidP="00531F0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CS/AH01/1101441588/25/PS</w:t>
      </w:r>
    </w:p>
    <w:p w:rsidR="00531F00" w:rsidRDefault="00531F00" w:rsidP="009A5EC7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9A5EC7" w:rsidRDefault="009A5EC7" w:rsidP="009A5EC7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bookmarkStart w:id="0" w:name="_GoBack"/>
      <w:bookmarkEnd w:id="0"/>
      <w:r w:rsidRPr="00365647">
        <w:rPr>
          <w:rFonts w:asciiTheme="minorHAnsi" w:eastAsiaTheme="minorHAnsi" w:hAnsiTheme="minorHAnsi" w:cstheme="minorHAnsi"/>
          <w:bCs/>
          <w:lang w:eastAsia="en-US"/>
        </w:rPr>
        <w:t>El que estableix el Plec de Prescripcions Tècniques i els criteris d’adjudicació.</w:t>
      </w:r>
    </w:p>
    <w:p w:rsidR="009A5EC7" w:rsidRPr="002C7089" w:rsidRDefault="009A5EC7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9A5EC7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1F00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A5EC7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D39C55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2023-06-16T11:59:00Z</dcterms:created>
  <dcterms:modified xsi:type="dcterms:W3CDTF">2025-07-18T09:01:00Z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